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7215" cy="2061845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6520" cy="2061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5.35pt;height:162.25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augusztus 5-én 8.00 –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augusztus 12-én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augusztus 14-én 8.00 - 12.00 óra között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 xml:space="preserve">VÁRPALOTA Gyermekjóléti Szolgálat 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Mártírok útja 1.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u w:val="none"/>
          <w:shd w:fill="F9F9F9" w:val="clear"/>
        </w:rPr>
        <w:t>2019. augusztus 26-án 9:00 - 13:00 óra között.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5885" cy="27940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00" cy="2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3pt;margin-top:0.05pt;width:7.45pt;height:2.1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tru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LibreOffice/5.1.1.3$Windows_x86 LibreOffice_project/89f508ef3ecebd2cfb8e1def0f0ba9a803b88a6d</Application>
  <Pages>1</Pages>
  <Words>122</Words>
  <Characters>880</Characters>
  <CharactersWithSpaces>996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2019-08-02T07:02:18Z</dcterms:modified>
  <cp:revision>25</cp:revision>
  <dc:subject/>
  <dc:title>                                            </dc:title>
</cp:coreProperties>
</file>